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DBEBC" w14:textId="77777777" w:rsidR="00F760A0" w:rsidRDefault="00F760A0">
      <w:pPr>
        <w:rPr>
          <w:b/>
          <w:bCs/>
          <w:sz w:val="24"/>
          <w:szCs w:val="24"/>
        </w:rPr>
      </w:pPr>
    </w:p>
    <w:p w14:paraId="17D3B6FC" w14:textId="505363D3" w:rsidR="00494F8E" w:rsidRPr="00F760A0" w:rsidRDefault="0077147E">
      <w:pPr>
        <w:rPr>
          <w:rFonts w:asciiTheme="majorHAnsi" w:hAnsiTheme="majorHAnsi" w:cstheme="majorHAnsi"/>
          <w:b/>
          <w:bCs/>
          <w:sz w:val="24"/>
          <w:szCs w:val="24"/>
        </w:rPr>
      </w:pPr>
      <w:r w:rsidRPr="00F760A0">
        <w:rPr>
          <w:rFonts w:asciiTheme="majorHAnsi" w:hAnsiTheme="majorHAnsi" w:cstheme="majorHAnsi"/>
          <w:b/>
          <w:bCs/>
          <w:sz w:val="24"/>
          <w:szCs w:val="24"/>
        </w:rPr>
        <w:t xml:space="preserve">Prescribing Update: Fluorouracil </w:t>
      </w:r>
      <w:r w:rsidR="00311A5F">
        <w:rPr>
          <w:rFonts w:asciiTheme="majorHAnsi" w:hAnsiTheme="majorHAnsi" w:cstheme="majorHAnsi"/>
          <w:b/>
          <w:bCs/>
          <w:sz w:val="24"/>
          <w:szCs w:val="24"/>
        </w:rPr>
        <w:t xml:space="preserve">5FU </w:t>
      </w:r>
      <w:r w:rsidRPr="00F760A0">
        <w:rPr>
          <w:rFonts w:asciiTheme="majorHAnsi" w:hAnsiTheme="majorHAnsi" w:cstheme="majorHAnsi"/>
          <w:b/>
          <w:bCs/>
          <w:sz w:val="24"/>
          <w:szCs w:val="24"/>
        </w:rPr>
        <w:t>(</w:t>
      </w:r>
      <w:r w:rsidR="00311A5F">
        <w:rPr>
          <w:rFonts w:asciiTheme="majorHAnsi" w:hAnsiTheme="majorHAnsi" w:cstheme="majorHAnsi"/>
          <w:b/>
          <w:bCs/>
          <w:sz w:val="24"/>
          <w:szCs w:val="24"/>
        </w:rPr>
        <w:t xml:space="preserve">formerly </w:t>
      </w:r>
      <w:r w:rsidRPr="00F760A0">
        <w:rPr>
          <w:rFonts w:asciiTheme="majorHAnsi" w:hAnsiTheme="majorHAnsi" w:cstheme="majorHAnsi"/>
          <w:b/>
          <w:bCs/>
          <w:sz w:val="24"/>
          <w:szCs w:val="24"/>
        </w:rPr>
        <w:t>Efudix) 5% Cream Primary Care</w:t>
      </w:r>
    </w:p>
    <w:p w14:paraId="301F9925" w14:textId="70D4ED35" w:rsidR="00494F8E" w:rsidRDefault="0077147E">
      <w:pPr>
        <w:rPr>
          <w:rFonts w:asciiTheme="majorHAnsi" w:hAnsiTheme="majorHAnsi" w:cstheme="majorHAnsi"/>
        </w:rPr>
      </w:pPr>
      <w:r w:rsidRPr="00F760A0">
        <w:rPr>
          <w:rFonts w:asciiTheme="majorHAnsi" w:hAnsiTheme="majorHAnsi" w:cstheme="majorHAnsi"/>
        </w:rPr>
        <w:t>Lancashire and South Cumbria Medicines Management Group (LSCMMG) has approved the prescribing of Fluorouracil (Efudix) Cream within Primary Care for the management of Actinic Keratosis and Bowen’s Disease. This decision was formally ratified in February 2023 and supports improved access to effective topical treatments for patients with sun</w:t>
      </w:r>
      <w:r w:rsidRPr="00F760A0">
        <w:rPr>
          <w:rFonts w:ascii="Cambria Math" w:hAnsi="Cambria Math" w:cs="Cambria Math"/>
        </w:rPr>
        <w:t>‑</w:t>
      </w:r>
      <w:r w:rsidRPr="00F760A0">
        <w:rPr>
          <w:rFonts w:asciiTheme="majorHAnsi" w:hAnsiTheme="majorHAnsi" w:cstheme="majorHAnsi"/>
        </w:rPr>
        <w:t>damaged skin lesions.</w:t>
      </w:r>
    </w:p>
    <w:p w14:paraId="6B3D18DC" w14:textId="2BA6BB3D" w:rsidR="00F760A0" w:rsidRPr="00F760A0" w:rsidRDefault="00F760A0">
      <w:pPr>
        <w:rPr>
          <w:rFonts w:asciiTheme="majorHAnsi" w:hAnsiTheme="majorHAnsi" w:cstheme="majorHAnsi"/>
        </w:rPr>
      </w:pPr>
      <w:r w:rsidRPr="00F760A0">
        <w:rPr>
          <w:rFonts w:asciiTheme="majorHAnsi" w:hAnsiTheme="majorHAnsi" w:cstheme="majorHAnsi"/>
          <w:noProof/>
        </w:rPr>
        <w:drawing>
          <wp:inline distT="0" distB="0" distL="0" distR="0" wp14:anchorId="3669CCEE" wp14:editId="3641B9C5">
            <wp:extent cx="5486400" cy="3141980"/>
            <wp:effectExtent l="0" t="0" r="0" b="1270"/>
            <wp:docPr id="6925329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532975" name=""/>
                    <pic:cNvPicPr/>
                  </pic:nvPicPr>
                  <pic:blipFill>
                    <a:blip r:embed="rId8"/>
                    <a:stretch>
                      <a:fillRect/>
                    </a:stretch>
                  </pic:blipFill>
                  <pic:spPr>
                    <a:xfrm>
                      <a:off x="0" y="0"/>
                      <a:ext cx="5486400" cy="3141980"/>
                    </a:xfrm>
                    <a:prstGeom prst="rect">
                      <a:avLst/>
                    </a:prstGeom>
                  </pic:spPr>
                </pic:pic>
              </a:graphicData>
            </a:graphic>
          </wp:inline>
        </w:drawing>
      </w:r>
    </w:p>
    <w:p w14:paraId="5F4FD134" w14:textId="2C2736F7" w:rsidR="00F760A0" w:rsidRPr="00F760A0" w:rsidRDefault="0095214A">
      <w:pPr>
        <w:rPr>
          <w:rFonts w:asciiTheme="majorHAnsi" w:hAnsiTheme="majorHAnsi" w:cstheme="majorHAnsi"/>
          <w:b/>
          <w:bCs/>
        </w:rPr>
      </w:pPr>
      <w:r>
        <w:rPr>
          <w:rFonts w:asciiTheme="majorHAnsi" w:hAnsiTheme="majorHAnsi" w:cstheme="majorHAnsi"/>
          <w:b/>
          <w:bCs/>
        </w:rPr>
        <w:t>Fl</w:t>
      </w:r>
      <w:r w:rsidR="00D819A6">
        <w:rPr>
          <w:rFonts w:asciiTheme="majorHAnsi" w:hAnsiTheme="majorHAnsi" w:cstheme="majorHAnsi"/>
          <w:b/>
          <w:bCs/>
        </w:rPr>
        <w:t>uorouracil</w:t>
      </w:r>
      <w:r w:rsidR="0077147E" w:rsidRPr="00F760A0">
        <w:rPr>
          <w:rFonts w:asciiTheme="majorHAnsi" w:hAnsiTheme="majorHAnsi" w:cstheme="majorHAnsi"/>
          <w:b/>
          <w:bCs/>
        </w:rPr>
        <w:t xml:space="preserve"> 5% Cream – Indications and Use</w:t>
      </w:r>
    </w:p>
    <w:p w14:paraId="4742F1BD" w14:textId="3623441E" w:rsidR="00494F8E" w:rsidRPr="00F760A0" w:rsidRDefault="001F03A6">
      <w:pPr>
        <w:rPr>
          <w:rFonts w:asciiTheme="majorHAnsi" w:hAnsiTheme="majorHAnsi" w:cstheme="majorHAnsi"/>
        </w:rPr>
      </w:pPr>
      <w:r>
        <w:rPr>
          <w:rFonts w:asciiTheme="majorHAnsi" w:hAnsiTheme="majorHAnsi" w:cstheme="majorHAnsi"/>
        </w:rPr>
        <w:t>F</w:t>
      </w:r>
      <w:r w:rsidR="0077147E" w:rsidRPr="00F760A0">
        <w:rPr>
          <w:rFonts w:asciiTheme="majorHAnsi" w:hAnsiTheme="majorHAnsi" w:cstheme="majorHAnsi"/>
        </w:rPr>
        <w:t xml:space="preserve">luorouracil </w:t>
      </w:r>
      <w:r>
        <w:rPr>
          <w:rFonts w:asciiTheme="majorHAnsi" w:hAnsiTheme="majorHAnsi" w:cstheme="majorHAnsi"/>
        </w:rPr>
        <w:t xml:space="preserve">is a </w:t>
      </w:r>
      <w:r w:rsidRPr="00F760A0">
        <w:rPr>
          <w:rFonts w:asciiTheme="majorHAnsi" w:hAnsiTheme="majorHAnsi" w:cstheme="majorHAnsi"/>
        </w:rPr>
        <w:t xml:space="preserve">topical </w:t>
      </w:r>
      <w:r w:rsidR="0077147E" w:rsidRPr="00F760A0">
        <w:rPr>
          <w:rFonts w:asciiTheme="majorHAnsi" w:hAnsiTheme="majorHAnsi" w:cstheme="majorHAnsi"/>
        </w:rPr>
        <w:t>preparation used to selectively target atypical and sun</w:t>
      </w:r>
      <w:r w:rsidR="0077147E" w:rsidRPr="00F760A0">
        <w:rPr>
          <w:rFonts w:ascii="Cambria Math" w:hAnsi="Cambria Math" w:cs="Cambria Math"/>
        </w:rPr>
        <w:t>‑</w:t>
      </w:r>
      <w:r w:rsidR="0077147E" w:rsidRPr="00F760A0">
        <w:rPr>
          <w:rFonts w:asciiTheme="majorHAnsi" w:hAnsiTheme="majorHAnsi" w:cstheme="majorHAnsi"/>
        </w:rPr>
        <w:t>damaged keratinocytes. It is indicated for:</w:t>
      </w:r>
      <w:r w:rsidR="0077147E" w:rsidRPr="00F760A0">
        <w:rPr>
          <w:rFonts w:asciiTheme="majorHAnsi" w:hAnsiTheme="majorHAnsi" w:cstheme="majorHAnsi"/>
        </w:rPr>
        <w:br/>
      </w:r>
      <w:r w:rsidR="0077147E" w:rsidRPr="00F760A0">
        <w:rPr>
          <w:rFonts w:ascii="Calibri" w:hAnsi="Calibri" w:cs="Calibri"/>
        </w:rPr>
        <w:t>•</w:t>
      </w:r>
      <w:r w:rsidR="0077147E" w:rsidRPr="00F760A0">
        <w:rPr>
          <w:rFonts w:asciiTheme="majorHAnsi" w:hAnsiTheme="majorHAnsi" w:cstheme="majorHAnsi"/>
        </w:rPr>
        <w:t xml:space="preserve"> Actinic Keratosis (AK)</w:t>
      </w:r>
      <w:r w:rsidR="0077147E" w:rsidRPr="00F760A0">
        <w:rPr>
          <w:rFonts w:asciiTheme="majorHAnsi" w:hAnsiTheme="majorHAnsi" w:cstheme="majorHAnsi"/>
        </w:rPr>
        <w:br/>
      </w:r>
      <w:r w:rsidR="0077147E" w:rsidRPr="00F760A0">
        <w:rPr>
          <w:rFonts w:ascii="Calibri" w:hAnsi="Calibri" w:cs="Calibri"/>
        </w:rPr>
        <w:t>•</w:t>
      </w:r>
      <w:r w:rsidR="0077147E" w:rsidRPr="00F760A0">
        <w:rPr>
          <w:rFonts w:asciiTheme="majorHAnsi" w:hAnsiTheme="majorHAnsi" w:cstheme="majorHAnsi"/>
        </w:rPr>
        <w:t xml:space="preserve"> Bowen</w:t>
      </w:r>
      <w:r w:rsidR="0077147E" w:rsidRPr="00F760A0">
        <w:rPr>
          <w:rFonts w:ascii="Calibri" w:hAnsi="Calibri" w:cs="Calibri"/>
        </w:rPr>
        <w:t>’</w:t>
      </w:r>
      <w:r w:rsidR="0077147E" w:rsidRPr="00F760A0">
        <w:rPr>
          <w:rFonts w:asciiTheme="majorHAnsi" w:hAnsiTheme="majorHAnsi" w:cstheme="majorHAnsi"/>
        </w:rPr>
        <w:t xml:space="preserve">s Disease </w:t>
      </w:r>
    </w:p>
    <w:p w14:paraId="6E40BC92" w14:textId="3AFAC2EF" w:rsidR="00494F8E" w:rsidRDefault="003A69DC">
      <w:pPr>
        <w:rPr>
          <w:rFonts w:asciiTheme="majorHAnsi" w:hAnsiTheme="majorHAnsi" w:cstheme="majorHAnsi"/>
        </w:rPr>
      </w:pPr>
      <w:r>
        <w:rPr>
          <w:rFonts w:asciiTheme="majorHAnsi" w:hAnsiTheme="majorHAnsi" w:cstheme="majorHAnsi"/>
        </w:rPr>
        <w:t>F</w:t>
      </w:r>
      <w:r w:rsidRPr="00F760A0">
        <w:rPr>
          <w:rFonts w:asciiTheme="majorHAnsi" w:hAnsiTheme="majorHAnsi" w:cstheme="majorHAnsi"/>
        </w:rPr>
        <w:t xml:space="preserve">luorouracil </w:t>
      </w:r>
      <w:r w:rsidR="0032385F">
        <w:rPr>
          <w:rFonts w:asciiTheme="majorHAnsi" w:hAnsiTheme="majorHAnsi" w:cstheme="majorHAnsi"/>
        </w:rPr>
        <w:t xml:space="preserve">(also known as 5FU) </w:t>
      </w:r>
      <w:r w:rsidR="0077147E" w:rsidRPr="00F760A0">
        <w:rPr>
          <w:rFonts w:asciiTheme="majorHAnsi" w:hAnsiTheme="majorHAnsi" w:cstheme="majorHAnsi"/>
        </w:rPr>
        <w:t>works by destroying dysplastic skin cells while leaving healthy skin largely unaffected. This makes it a valuable option for managing lesions where early treatment can reduce progression to invasive disease.</w:t>
      </w:r>
    </w:p>
    <w:p w14:paraId="5C7C059E" w14:textId="77777777" w:rsidR="00B065DB" w:rsidRDefault="00B065DB">
      <w:pPr>
        <w:rPr>
          <w:rFonts w:asciiTheme="majorHAnsi" w:hAnsiTheme="majorHAnsi" w:cstheme="majorHAnsi"/>
          <w:b/>
          <w:bCs/>
        </w:rPr>
      </w:pPr>
    </w:p>
    <w:p w14:paraId="4F52C158" w14:textId="77777777" w:rsidR="00B065DB" w:rsidRDefault="00B065DB">
      <w:pPr>
        <w:rPr>
          <w:rFonts w:asciiTheme="majorHAnsi" w:hAnsiTheme="majorHAnsi" w:cstheme="majorHAnsi"/>
          <w:b/>
          <w:bCs/>
        </w:rPr>
      </w:pPr>
    </w:p>
    <w:p w14:paraId="448F0FDF" w14:textId="0F9AA8AA" w:rsidR="00494F8E" w:rsidRPr="00F760A0" w:rsidRDefault="0077147E">
      <w:pPr>
        <w:rPr>
          <w:rFonts w:asciiTheme="majorHAnsi" w:hAnsiTheme="majorHAnsi" w:cstheme="majorHAnsi"/>
        </w:rPr>
      </w:pPr>
      <w:r w:rsidRPr="00F760A0">
        <w:rPr>
          <w:rFonts w:asciiTheme="majorHAnsi" w:hAnsiTheme="majorHAnsi" w:cstheme="majorHAnsi"/>
          <w:b/>
          <w:bCs/>
        </w:rPr>
        <w:lastRenderedPageBreak/>
        <w:t>Alternative Option</w:t>
      </w:r>
      <w:r w:rsidR="00B065DB">
        <w:rPr>
          <w:rFonts w:asciiTheme="majorHAnsi" w:hAnsiTheme="majorHAnsi" w:cstheme="majorHAnsi"/>
          <w:b/>
          <w:bCs/>
        </w:rPr>
        <w:t>s</w:t>
      </w:r>
      <w:r w:rsidRPr="00F760A0">
        <w:rPr>
          <w:rFonts w:asciiTheme="majorHAnsi" w:hAnsiTheme="majorHAnsi" w:cstheme="majorHAnsi"/>
          <w:b/>
          <w:bCs/>
        </w:rPr>
        <w:t xml:space="preserve">: </w:t>
      </w:r>
      <w:r w:rsidR="00225A3A">
        <w:rPr>
          <w:rFonts w:asciiTheme="majorHAnsi" w:hAnsiTheme="majorHAnsi" w:cstheme="majorHAnsi"/>
          <w:b/>
          <w:bCs/>
        </w:rPr>
        <w:t>T</w:t>
      </w:r>
      <w:r w:rsidRPr="00F760A0">
        <w:rPr>
          <w:rFonts w:asciiTheme="majorHAnsi" w:hAnsiTheme="majorHAnsi" w:cstheme="majorHAnsi"/>
          <w:b/>
          <w:bCs/>
        </w:rPr>
        <w:t>irbanibulin (Klisyri) Ointment</w:t>
      </w:r>
      <w:r w:rsidRPr="00F760A0">
        <w:rPr>
          <w:rFonts w:asciiTheme="majorHAnsi" w:hAnsiTheme="majorHAnsi" w:cstheme="majorHAnsi"/>
        </w:rPr>
        <w:br/>
        <w:t xml:space="preserve">In the event of </w:t>
      </w:r>
      <w:r w:rsidR="00D819A6">
        <w:rPr>
          <w:rFonts w:asciiTheme="majorHAnsi" w:hAnsiTheme="majorHAnsi" w:cstheme="majorHAnsi"/>
        </w:rPr>
        <w:t>Fluorouracil</w:t>
      </w:r>
      <w:r w:rsidRPr="00F760A0">
        <w:rPr>
          <w:rFonts w:asciiTheme="majorHAnsi" w:hAnsiTheme="majorHAnsi" w:cstheme="majorHAnsi"/>
        </w:rPr>
        <w:t xml:space="preserve"> supply issues, an approved alternative—Tirbanibulin (Klisyri) Ointment—can also be prescribed in Primary Care for Actinic Keratosis. Tirbanibulin is a newer topical agent used over a short course and may be considered when Efudix is unavailable or unsuitable.</w:t>
      </w:r>
    </w:p>
    <w:p w14:paraId="3F60A7F7" w14:textId="77777777" w:rsidR="00494F8E" w:rsidRPr="00F760A0" w:rsidRDefault="0077147E">
      <w:pPr>
        <w:rPr>
          <w:rFonts w:asciiTheme="majorHAnsi" w:hAnsiTheme="majorHAnsi" w:cstheme="majorHAnsi"/>
        </w:rPr>
      </w:pPr>
      <w:r w:rsidRPr="00F760A0">
        <w:rPr>
          <w:rFonts w:asciiTheme="majorHAnsi" w:hAnsiTheme="majorHAnsi" w:cstheme="majorHAnsi"/>
          <w:b/>
          <w:bCs/>
        </w:rPr>
        <w:t>Further Guidance</w:t>
      </w:r>
      <w:r w:rsidRPr="00F760A0">
        <w:rPr>
          <w:rFonts w:asciiTheme="majorHAnsi" w:hAnsiTheme="majorHAnsi" w:cstheme="majorHAnsi"/>
        </w:rPr>
        <w:br/>
        <w:t>Full prescribing information, formulary status, and clinical guidance can be found on the Lancashire and South Cumbria Formulary.</w:t>
      </w:r>
    </w:p>
    <w:p w14:paraId="7A189348" w14:textId="7F43ABE0" w:rsidR="00494F8E" w:rsidRDefault="0077147E">
      <w:pPr>
        <w:rPr>
          <w:rFonts w:asciiTheme="majorHAnsi" w:hAnsiTheme="majorHAnsi" w:cstheme="majorHAnsi"/>
        </w:rPr>
      </w:pPr>
      <w:r w:rsidRPr="00F760A0">
        <w:rPr>
          <w:rFonts w:asciiTheme="majorHAnsi" w:hAnsiTheme="majorHAnsi" w:cstheme="majorHAnsi"/>
          <w:b/>
          <w:bCs/>
        </w:rPr>
        <w:t>Education and Support</w:t>
      </w:r>
      <w:r w:rsidRPr="00F760A0">
        <w:rPr>
          <w:rFonts w:asciiTheme="majorHAnsi" w:hAnsiTheme="majorHAnsi" w:cstheme="majorHAnsi"/>
          <w:b/>
          <w:bCs/>
        </w:rPr>
        <w:br/>
      </w:r>
      <w:r w:rsidR="00F760A0">
        <w:rPr>
          <w:rFonts w:asciiTheme="majorHAnsi" w:hAnsiTheme="majorHAnsi" w:cstheme="majorHAnsi"/>
        </w:rPr>
        <w:t>The below</w:t>
      </w:r>
      <w:r w:rsidRPr="00F760A0">
        <w:rPr>
          <w:rFonts w:asciiTheme="majorHAnsi" w:hAnsiTheme="majorHAnsi" w:cstheme="majorHAnsi"/>
        </w:rPr>
        <w:t xml:space="preserve"> QR code provid</w:t>
      </w:r>
      <w:r w:rsidR="00F760A0">
        <w:rPr>
          <w:rFonts w:asciiTheme="majorHAnsi" w:hAnsiTheme="majorHAnsi" w:cstheme="majorHAnsi"/>
        </w:rPr>
        <w:t>es</w:t>
      </w:r>
      <w:r w:rsidRPr="00F760A0">
        <w:rPr>
          <w:rFonts w:asciiTheme="majorHAnsi" w:hAnsiTheme="majorHAnsi" w:cstheme="majorHAnsi"/>
        </w:rPr>
        <w:t xml:space="preserve"> access to a suite of dermatology educational videos produced by the Lancashire &amp; South Cumbria Cancer Alliance. These include a dedicated resource on identifying Actinic Keratosis, supporting timely recognition and appropriate treatment in Primary Care.</w:t>
      </w:r>
      <w:r w:rsidR="00F760A0">
        <w:rPr>
          <w:rFonts w:asciiTheme="majorHAnsi" w:hAnsiTheme="majorHAnsi" w:cstheme="majorHAnsi"/>
        </w:rPr>
        <w:t xml:space="preserve"> </w:t>
      </w:r>
    </w:p>
    <w:p w14:paraId="0940CEB2" w14:textId="16464787" w:rsidR="00F760A0" w:rsidRPr="00F760A0" w:rsidRDefault="00F760A0">
      <w:pPr>
        <w:rPr>
          <w:rFonts w:asciiTheme="majorHAnsi" w:hAnsiTheme="majorHAnsi" w:cstheme="majorHAnsi"/>
        </w:rPr>
      </w:pPr>
      <w:r w:rsidRPr="00AC5AC9">
        <w:rPr>
          <w:noProof/>
        </w:rPr>
        <w:drawing>
          <wp:inline distT="0" distB="0" distL="0" distR="0" wp14:anchorId="2132B6C0" wp14:editId="319999C6">
            <wp:extent cx="2087880" cy="1973580"/>
            <wp:effectExtent l="0" t="0" r="7620" b="7620"/>
            <wp:docPr id="19812119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87880" cy="1973580"/>
                    </a:xfrm>
                    <a:prstGeom prst="rect">
                      <a:avLst/>
                    </a:prstGeom>
                    <a:noFill/>
                    <a:ln>
                      <a:noFill/>
                    </a:ln>
                  </pic:spPr>
                </pic:pic>
              </a:graphicData>
            </a:graphic>
          </wp:inline>
        </w:drawing>
      </w:r>
    </w:p>
    <w:sectPr w:rsidR="00F760A0" w:rsidRPr="00F760A0" w:rsidSect="00034616">
      <w:head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E15759" w14:textId="77777777" w:rsidR="009F76AA" w:rsidRDefault="009F76AA" w:rsidP="00F760A0">
      <w:pPr>
        <w:spacing w:after="0" w:line="240" w:lineRule="auto"/>
      </w:pPr>
      <w:r>
        <w:separator/>
      </w:r>
    </w:p>
  </w:endnote>
  <w:endnote w:type="continuationSeparator" w:id="0">
    <w:p w14:paraId="0ED07249" w14:textId="77777777" w:rsidR="009F76AA" w:rsidRDefault="009F76AA" w:rsidP="00F760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745EA9" w14:textId="77777777" w:rsidR="009F76AA" w:rsidRDefault="009F76AA" w:rsidP="00F760A0">
      <w:pPr>
        <w:spacing w:after="0" w:line="240" w:lineRule="auto"/>
      </w:pPr>
      <w:r>
        <w:separator/>
      </w:r>
    </w:p>
  </w:footnote>
  <w:footnote w:type="continuationSeparator" w:id="0">
    <w:p w14:paraId="6E608DBF" w14:textId="77777777" w:rsidR="009F76AA" w:rsidRDefault="009F76AA" w:rsidP="00F760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416F0" w14:textId="259C5B6F" w:rsidR="00F760A0" w:rsidRDefault="00F760A0" w:rsidP="00F760A0">
    <w:pPr>
      <w:pStyle w:val="Header"/>
      <w:jc w:val="right"/>
    </w:pPr>
    <w:r w:rsidRPr="004605D5">
      <w:rPr>
        <w:noProof/>
      </w:rPr>
      <w:drawing>
        <wp:inline distT="0" distB="0" distL="0" distR="0" wp14:anchorId="7A6C8983" wp14:editId="30E45EC7">
          <wp:extent cx="1874520" cy="1028700"/>
          <wp:effectExtent l="0" t="0" r="0" b="0"/>
          <wp:docPr id="13150123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4520" cy="10287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360473329">
    <w:abstractNumId w:val="8"/>
  </w:num>
  <w:num w:numId="2" w16cid:durableId="1267234548">
    <w:abstractNumId w:val="6"/>
  </w:num>
  <w:num w:numId="3" w16cid:durableId="583298785">
    <w:abstractNumId w:val="5"/>
  </w:num>
  <w:num w:numId="4" w16cid:durableId="1680741345">
    <w:abstractNumId w:val="4"/>
  </w:num>
  <w:num w:numId="5" w16cid:durableId="389111310">
    <w:abstractNumId w:val="7"/>
  </w:num>
  <w:num w:numId="6" w16cid:durableId="1763141744">
    <w:abstractNumId w:val="3"/>
  </w:num>
  <w:num w:numId="7" w16cid:durableId="1947032141">
    <w:abstractNumId w:val="2"/>
  </w:num>
  <w:num w:numId="8" w16cid:durableId="1504276774">
    <w:abstractNumId w:val="1"/>
  </w:num>
  <w:num w:numId="9" w16cid:durableId="15220881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F03A6"/>
    <w:rsid w:val="00225A3A"/>
    <w:rsid w:val="0029639D"/>
    <w:rsid w:val="002F4742"/>
    <w:rsid w:val="00311A5F"/>
    <w:rsid w:val="0032385F"/>
    <w:rsid w:val="00326F90"/>
    <w:rsid w:val="003A69DC"/>
    <w:rsid w:val="00494F8E"/>
    <w:rsid w:val="007312B5"/>
    <w:rsid w:val="0077147E"/>
    <w:rsid w:val="00796EE1"/>
    <w:rsid w:val="0095214A"/>
    <w:rsid w:val="009F76AA"/>
    <w:rsid w:val="00AA1D8D"/>
    <w:rsid w:val="00AD74DF"/>
    <w:rsid w:val="00B065DB"/>
    <w:rsid w:val="00B47730"/>
    <w:rsid w:val="00CB0664"/>
    <w:rsid w:val="00CC74BC"/>
    <w:rsid w:val="00D819A6"/>
    <w:rsid w:val="00F760A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AD438D"/>
  <w14:defaultImageDpi w14:val="300"/>
  <w15:docId w15:val="{059667CF-3312-475C-B2A0-2657AD08B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253</Words>
  <Characters>1443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1693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BUTTERY, Lindsey (NHS LANCASHIRE AND SOUTH CUMBRIA ICB - 02M)</cp:lastModifiedBy>
  <cp:revision>13</cp:revision>
  <dcterms:created xsi:type="dcterms:W3CDTF">2026-03-05T12:23:00Z</dcterms:created>
  <dcterms:modified xsi:type="dcterms:W3CDTF">2026-04-09T12:43:00Z</dcterms:modified>
  <cp:category/>
</cp:coreProperties>
</file>